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2F1450">
      <w:pPr>
        <w:pStyle w:val="MainHeading"/>
        <w:ind w:firstLine="52"/>
      </w:pPr>
      <w:r>
        <w:t>Toolbox Talks</w:t>
      </w:r>
      <w:r w:rsidR="008F0CA8" w:rsidRPr="008F0CA8">
        <w:tab/>
      </w:r>
    </w:p>
    <w:p w:rsidR="002F1450" w:rsidRPr="002F1450" w:rsidRDefault="002F1450" w:rsidP="002F1450">
      <w:pPr>
        <w:widowControl/>
        <w:autoSpaceDE/>
        <w:autoSpaceDN/>
        <w:adjustRightInd/>
        <w:ind w:right="-1"/>
        <w:jc w:val="both"/>
        <w:rPr>
          <w:rFonts w:ascii="Arial" w:eastAsia="Times New Roman" w:hAnsi="Arial" w:cs="Arial"/>
          <w:szCs w:val="20"/>
        </w:rPr>
      </w:pPr>
    </w:p>
    <w:tbl>
      <w:tblPr>
        <w:tblpPr w:leftFromText="180" w:rightFromText="180" w:vertAnchor="text" w:horzAnchor="margin" w:tblpY="998"/>
        <w:tblW w:w="10865" w:type="dxa"/>
        <w:tblLook w:val="0000"/>
      </w:tblPr>
      <w:tblGrid>
        <w:gridCol w:w="6180"/>
        <w:gridCol w:w="4685"/>
      </w:tblGrid>
      <w:tr w:rsidR="002F1450" w:rsidRPr="002F1450" w:rsidTr="00A91C9B">
        <w:trPr>
          <w:cantSplit/>
          <w:trHeight w:val="348"/>
        </w:trPr>
        <w:tc>
          <w:tcPr>
            <w:tcW w:w="6180" w:type="dxa"/>
          </w:tcPr>
          <w:p w:rsidR="002F1450" w:rsidRPr="002F1450" w:rsidRDefault="002F1450" w:rsidP="002F1450">
            <w:pPr>
              <w:widowControl/>
              <w:autoSpaceDE/>
              <w:autoSpaceDN/>
              <w:adjustRightInd/>
              <w:ind w:left="142"/>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Remind crews to drive defensively and to always obey all traffic laws.  Driver’s should use particular caution when:</w:t>
            </w:r>
          </w:p>
        </w:tc>
        <w:tc>
          <w:tcPr>
            <w:tcW w:w="4685" w:type="dxa"/>
            <w:vMerge w:val="restart"/>
          </w:tcPr>
          <w:p w:rsidR="002F1450" w:rsidRPr="002F1450" w:rsidRDefault="002F1450" w:rsidP="002F1450">
            <w:pPr>
              <w:widowControl/>
              <w:autoSpaceDE/>
              <w:autoSpaceDN/>
              <w:adjustRightInd/>
              <w:jc w:val="center"/>
              <w:rPr>
                <w:rFonts w:ascii="Arial" w:eastAsia="Times New Roman" w:hAnsi="Arial" w:cs="Arial"/>
                <w:szCs w:val="20"/>
              </w:rPr>
            </w:pPr>
            <w:r>
              <w:rPr>
                <w:rFonts w:ascii="Arial" w:eastAsia="Times New Roman" w:hAnsi="Arial" w:cs="Arial"/>
                <w:noProof/>
                <w:sz w:val="20"/>
                <w:szCs w:val="20"/>
              </w:rPr>
              <w:drawing>
                <wp:anchor distT="0" distB="0" distL="114300" distR="114300" simplePos="0" relativeHeight="251673600" behindDoc="0" locked="0" layoutInCell="1" allowOverlap="1">
                  <wp:simplePos x="0" y="0"/>
                  <wp:positionH relativeFrom="column">
                    <wp:posOffset>1054100</wp:posOffset>
                  </wp:positionH>
                  <wp:positionV relativeFrom="paragraph">
                    <wp:posOffset>163830</wp:posOffset>
                  </wp:positionV>
                  <wp:extent cx="2588895" cy="2921635"/>
                  <wp:effectExtent l="0" t="0" r="1905" b="0"/>
                  <wp:wrapSquare wrapText="bothSides"/>
                  <wp:docPr id="1" name="Picture 1" descr="http://www.zifflaw.com/NYInjuryLawBlog/wp-content/uploads/2009/06/defensive-dr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fflaw.com/NYInjuryLawBlog/wp-content/uploads/2009/06/defensive-driving.jpg"/>
                          <pic:cNvPicPr>
                            <a:picLocks noChangeAspect="1" noChangeArrowheads="1"/>
                          </pic:cNvPicPr>
                        </pic:nvPicPr>
                        <pic:blipFill>
                          <a:blip r:embed="rId7" r:link="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895" cy="2921635"/>
                          </a:xfrm>
                          <a:prstGeom prst="rect">
                            <a:avLst/>
                          </a:prstGeom>
                          <a:noFill/>
                          <a:ln>
                            <a:noFill/>
                          </a:ln>
                        </pic:spPr>
                      </pic:pic>
                    </a:graphicData>
                  </a:graphic>
                </wp:anchor>
              </w:drawing>
            </w:r>
          </w:p>
          <w:p w:rsidR="002F1450" w:rsidRPr="002F1450" w:rsidRDefault="002F1450" w:rsidP="002F1450">
            <w:pPr>
              <w:widowControl/>
              <w:autoSpaceDE/>
              <w:autoSpaceDN/>
              <w:adjustRightInd/>
              <w:jc w:val="both"/>
              <w:rPr>
                <w:rFonts w:ascii="Arial" w:eastAsia="Times New Roman" w:hAnsi="Arial" w:cs="Arial"/>
                <w:szCs w:val="20"/>
              </w:rPr>
            </w:pPr>
          </w:p>
        </w:tc>
      </w:tr>
      <w:tr w:rsidR="002F1450" w:rsidRPr="002F1450" w:rsidTr="00A91C9B">
        <w:trPr>
          <w:cantSplit/>
          <w:trHeight w:val="175"/>
        </w:trPr>
        <w:tc>
          <w:tcPr>
            <w:tcW w:w="6180" w:type="dxa"/>
          </w:tcPr>
          <w:p w:rsidR="002F1450" w:rsidRPr="002F1450" w:rsidRDefault="002F1450" w:rsidP="002F1450">
            <w:pPr>
              <w:widowControl/>
              <w:autoSpaceDE/>
              <w:autoSpaceDN/>
              <w:adjustRightInd/>
              <w:jc w:val="both"/>
              <w:rPr>
                <w:rFonts w:ascii="Verdana" w:eastAsia="Times New Roman" w:hAnsi="Verdana" w:cs="Arial"/>
                <w:color w:val="808080" w:themeColor="background1" w:themeShade="80"/>
              </w:rPr>
            </w:pPr>
          </w:p>
        </w:tc>
        <w:tc>
          <w:tcPr>
            <w:tcW w:w="4685" w:type="dxa"/>
            <w:vMerge/>
          </w:tcPr>
          <w:p w:rsidR="002F1450" w:rsidRPr="002F1450" w:rsidRDefault="002F1450" w:rsidP="002F1450">
            <w:pPr>
              <w:widowControl/>
              <w:autoSpaceDE/>
              <w:autoSpaceDN/>
              <w:adjustRightInd/>
              <w:jc w:val="both"/>
              <w:rPr>
                <w:rFonts w:ascii="Arial" w:eastAsia="Times New Roman" w:hAnsi="Arial" w:cs="Arial"/>
                <w:szCs w:val="20"/>
              </w:rPr>
            </w:pPr>
          </w:p>
        </w:tc>
      </w:tr>
      <w:tr w:rsidR="002F1450" w:rsidRPr="002F1450" w:rsidTr="00A91C9B">
        <w:trPr>
          <w:cantSplit/>
          <w:trHeight w:val="163"/>
        </w:trPr>
        <w:tc>
          <w:tcPr>
            <w:tcW w:w="6180" w:type="dxa"/>
          </w:tcPr>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 xml:space="preserve">Driving in high levels of pedestrian or vehicular traffic. </w:t>
            </w:r>
          </w:p>
        </w:tc>
        <w:tc>
          <w:tcPr>
            <w:tcW w:w="4685" w:type="dxa"/>
            <w:vMerge/>
          </w:tcPr>
          <w:p w:rsidR="002F1450" w:rsidRPr="002F1450" w:rsidRDefault="002F1450" w:rsidP="002F1450">
            <w:pPr>
              <w:widowControl/>
              <w:tabs>
                <w:tab w:val="num" w:pos="-273"/>
              </w:tabs>
              <w:autoSpaceDE/>
              <w:autoSpaceDN/>
              <w:adjustRightInd/>
              <w:ind w:left="-273" w:hanging="360"/>
              <w:jc w:val="both"/>
              <w:rPr>
                <w:rFonts w:ascii="Arial" w:eastAsia="Times New Roman" w:hAnsi="Arial" w:cs="Arial"/>
                <w:szCs w:val="20"/>
              </w:rPr>
            </w:pPr>
          </w:p>
        </w:tc>
      </w:tr>
      <w:tr w:rsidR="002F1450" w:rsidRPr="002F1450" w:rsidTr="00A91C9B">
        <w:trPr>
          <w:cantSplit/>
          <w:trHeight w:val="348"/>
        </w:trPr>
        <w:tc>
          <w:tcPr>
            <w:tcW w:w="6180" w:type="dxa"/>
          </w:tcPr>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Driving in a school or park zone.  A child could run out into the middle of the street without looking.</w:t>
            </w:r>
          </w:p>
        </w:tc>
        <w:tc>
          <w:tcPr>
            <w:tcW w:w="4685" w:type="dxa"/>
            <w:vMerge/>
          </w:tcPr>
          <w:p w:rsidR="002F1450" w:rsidRPr="002F1450" w:rsidRDefault="002F1450" w:rsidP="002F1450">
            <w:pPr>
              <w:widowControl/>
              <w:tabs>
                <w:tab w:val="num" w:pos="-273"/>
              </w:tabs>
              <w:autoSpaceDE/>
              <w:autoSpaceDN/>
              <w:adjustRightInd/>
              <w:ind w:left="-273" w:hanging="360"/>
              <w:jc w:val="both"/>
              <w:rPr>
                <w:rFonts w:ascii="Arial" w:eastAsia="Times New Roman" w:hAnsi="Arial" w:cs="Arial"/>
                <w:szCs w:val="20"/>
              </w:rPr>
            </w:pPr>
          </w:p>
        </w:tc>
      </w:tr>
      <w:tr w:rsidR="002F1450" w:rsidRPr="002F1450" w:rsidTr="00A91C9B">
        <w:trPr>
          <w:cantSplit/>
          <w:trHeight w:val="348"/>
        </w:trPr>
        <w:tc>
          <w:tcPr>
            <w:tcW w:w="6180" w:type="dxa"/>
          </w:tcPr>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Entering an intersection.  Look both ways before entering, even if the light is green.</w:t>
            </w:r>
          </w:p>
        </w:tc>
        <w:tc>
          <w:tcPr>
            <w:tcW w:w="4685" w:type="dxa"/>
            <w:vMerge/>
          </w:tcPr>
          <w:p w:rsidR="002F1450" w:rsidRPr="002F1450" w:rsidRDefault="002F1450" w:rsidP="002F1450">
            <w:pPr>
              <w:widowControl/>
              <w:tabs>
                <w:tab w:val="num" w:pos="-273"/>
              </w:tabs>
              <w:autoSpaceDE/>
              <w:autoSpaceDN/>
              <w:adjustRightInd/>
              <w:ind w:left="-273" w:hanging="360"/>
              <w:jc w:val="both"/>
              <w:rPr>
                <w:rFonts w:ascii="Arial" w:eastAsia="Times New Roman" w:hAnsi="Arial" w:cs="Arial"/>
                <w:szCs w:val="20"/>
              </w:rPr>
            </w:pPr>
          </w:p>
        </w:tc>
      </w:tr>
      <w:tr w:rsidR="002F1450" w:rsidRPr="002F1450" w:rsidTr="00A91C9B">
        <w:trPr>
          <w:cantSplit/>
          <w:trHeight w:val="2732"/>
        </w:trPr>
        <w:tc>
          <w:tcPr>
            <w:tcW w:w="6180" w:type="dxa"/>
          </w:tcPr>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Backing up.  Remember to always look behind you, check in your rear/side view mirrors, and honk twice to warn any pedestrians or vehicles that may go behind you.</w:t>
            </w:r>
          </w:p>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Changing lanes.  Always shoulder check.</w:t>
            </w:r>
          </w:p>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Driving in a lane closure.  Workers may enter unexpectedly.</w:t>
            </w:r>
          </w:p>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Exiting from a lane closure.  General motorists tend to change lanes at the ends of lane closures.</w:t>
            </w:r>
          </w:p>
          <w:p w:rsidR="002F1450" w:rsidRPr="002F1450" w:rsidRDefault="002F1450" w:rsidP="002F1450">
            <w:pPr>
              <w:widowControl/>
              <w:numPr>
                <w:ilvl w:val="0"/>
                <w:numId w:val="15"/>
              </w:numPr>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Towing a trailer.</w:t>
            </w:r>
          </w:p>
          <w:p w:rsidR="002F1450" w:rsidRPr="002F1450" w:rsidRDefault="002F1450" w:rsidP="002F1450">
            <w:pPr>
              <w:widowControl/>
              <w:autoSpaceDE/>
              <w:autoSpaceDN/>
              <w:adjustRightInd/>
              <w:jc w:val="both"/>
              <w:rPr>
                <w:rFonts w:ascii="Verdana" w:eastAsia="Times New Roman" w:hAnsi="Verdana" w:cs="Arial"/>
                <w:color w:val="808080" w:themeColor="background1" w:themeShade="80"/>
              </w:rPr>
            </w:pPr>
          </w:p>
          <w:p w:rsidR="002F1450" w:rsidRPr="002F1450" w:rsidRDefault="002F1450" w:rsidP="002F1450">
            <w:pPr>
              <w:widowControl/>
              <w:autoSpaceDE/>
              <w:autoSpaceDN/>
              <w:adjustRightInd/>
              <w:jc w:val="both"/>
              <w:rPr>
                <w:rFonts w:ascii="Verdana" w:eastAsia="Times New Roman" w:hAnsi="Verdana" w:cs="Arial"/>
                <w:color w:val="808080" w:themeColor="background1" w:themeShade="80"/>
              </w:rPr>
            </w:pPr>
            <w:r w:rsidRPr="002F1450">
              <w:rPr>
                <w:rFonts w:ascii="Verdana" w:eastAsia="Times New Roman" w:hAnsi="Verdana" w:cs="Arial"/>
                <w:color w:val="808080" w:themeColor="background1" w:themeShade="80"/>
                <w:sz w:val="22"/>
                <w:szCs w:val="22"/>
              </w:rPr>
              <w:t>Be observant of your surroundings, watch for moving machinery and workers while on a construction site.  Be wary of drivers who are driving erratically, and most importantly, avoid using a cell phone or eating while driving, so that your full attention can be on the road at all times.</w:t>
            </w:r>
          </w:p>
          <w:p w:rsidR="002F1450" w:rsidRPr="002F1450" w:rsidRDefault="002F1450" w:rsidP="002F1450">
            <w:pPr>
              <w:widowControl/>
              <w:autoSpaceDE/>
              <w:autoSpaceDN/>
              <w:adjustRightInd/>
              <w:jc w:val="both"/>
              <w:rPr>
                <w:rFonts w:ascii="Verdana" w:eastAsia="Times New Roman" w:hAnsi="Verdana" w:cs="Arial"/>
                <w:color w:val="808080" w:themeColor="background1" w:themeShade="80"/>
              </w:rPr>
            </w:pPr>
          </w:p>
        </w:tc>
        <w:tc>
          <w:tcPr>
            <w:tcW w:w="4685" w:type="dxa"/>
            <w:vMerge/>
          </w:tcPr>
          <w:p w:rsidR="002F1450" w:rsidRPr="002F1450" w:rsidRDefault="002F1450" w:rsidP="002F1450">
            <w:pPr>
              <w:widowControl/>
              <w:autoSpaceDE/>
              <w:autoSpaceDN/>
              <w:adjustRightInd/>
              <w:jc w:val="both"/>
              <w:rPr>
                <w:rFonts w:ascii="Arial" w:eastAsia="Times New Roman" w:hAnsi="Arial" w:cs="Arial"/>
                <w:szCs w:val="20"/>
              </w:rPr>
            </w:pPr>
          </w:p>
        </w:tc>
      </w:tr>
    </w:tbl>
    <w:p w:rsidR="002F1450" w:rsidRPr="002F1450" w:rsidRDefault="002F1450" w:rsidP="002F1450">
      <w:pPr>
        <w:widowControl/>
        <w:autoSpaceDE/>
        <w:autoSpaceDN/>
        <w:adjustRightInd/>
        <w:ind w:right="-900" w:firstLine="142"/>
        <w:jc w:val="both"/>
        <w:rPr>
          <w:rFonts w:ascii="Verdana" w:eastAsia="Times New Roman" w:hAnsi="Verdana" w:cs="Arial"/>
          <w:b/>
          <w:bCs/>
          <w:color w:val="808080" w:themeColor="background1" w:themeShade="80"/>
          <w:sz w:val="22"/>
          <w:szCs w:val="22"/>
        </w:rPr>
      </w:pPr>
      <w:r w:rsidRPr="002F1450">
        <w:rPr>
          <w:rFonts w:ascii="Verdana" w:eastAsia="Times New Roman" w:hAnsi="Verdana" w:cs="Arial"/>
          <w:b/>
          <w:bCs/>
          <w:color w:val="808080" w:themeColor="background1" w:themeShade="80"/>
          <w:sz w:val="22"/>
          <w:szCs w:val="22"/>
        </w:rPr>
        <w:t>DEFENSIVE DRIVING- WHEN TO BE CAUTIOUS</w:t>
      </w:r>
    </w:p>
    <w:p w:rsidR="002F1450" w:rsidRPr="002F1450" w:rsidRDefault="002F1450" w:rsidP="002F1450">
      <w:pPr>
        <w:widowControl/>
        <w:autoSpaceDE/>
        <w:autoSpaceDN/>
        <w:adjustRightInd/>
        <w:ind w:right="-900"/>
        <w:jc w:val="both"/>
        <w:rPr>
          <w:rFonts w:ascii="Verdana" w:eastAsia="Times New Roman" w:hAnsi="Verdana" w:cs="Arial"/>
          <w:color w:val="808080" w:themeColor="background1" w:themeShade="80"/>
          <w:sz w:val="22"/>
          <w:szCs w:val="22"/>
        </w:rPr>
      </w:pPr>
    </w:p>
    <w:p w:rsidR="002F1450" w:rsidRPr="002F1450" w:rsidRDefault="002F1450" w:rsidP="002F1450">
      <w:pPr>
        <w:widowControl/>
        <w:autoSpaceDE/>
        <w:autoSpaceDN/>
        <w:adjustRightInd/>
        <w:ind w:firstLine="142"/>
        <w:jc w:val="both"/>
        <w:rPr>
          <w:rFonts w:ascii="Verdana" w:eastAsia="Times New Roman" w:hAnsi="Verdana" w:cs="Arial"/>
          <w:bCs/>
          <w:color w:val="808080" w:themeColor="background1" w:themeShade="80"/>
          <w:sz w:val="22"/>
          <w:szCs w:val="22"/>
        </w:rPr>
      </w:pPr>
      <w:r w:rsidRPr="002F1450">
        <w:rPr>
          <w:rFonts w:ascii="Verdana" w:eastAsia="Times New Roman" w:hAnsi="Verdana" w:cs="Arial"/>
          <w:bCs/>
          <w:color w:val="808080" w:themeColor="background1" w:themeShade="80"/>
          <w:sz w:val="22"/>
          <w:szCs w:val="22"/>
        </w:rPr>
        <w:t>ELIMINATE DISTRACTIONS</w:t>
      </w:r>
    </w:p>
    <w:p w:rsidR="002F1450" w:rsidRPr="002F1450" w:rsidRDefault="002F1450" w:rsidP="002F1450">
      <w:pPr>
        <w:pStyle w:val="Bullet"/>
        <w:rPr>
          <w:rFonts w:eastAsia="Times New Roman"/>
        </w:rPr>
      </w:pPr>
      <w:r w:rsidRPr="002F1450">
        <w:rPr>
          <w:rFonts w:eastAsia="Times New Roman"/>
        </w:rPr>
        <w:t>Cell phones may only be used in conjunction with hands free devices.  In order to call someone when driving, you must have your cell phone set up for “One touch dialing” (speed dial), otherwise, it is illegal to dial while driving.</w:t>
      </w:r>
    </w:p>
    <w:p w:rsidR="002F1450" w:rsidRPr="002F1450" w:rsidRDefault="002F1450" w:rsidP="002F1450">
      <w:pPr>
        <w:pStyle w:val="Bullet"/>
        <w:rPr>
          <w:rFonts w:eastAsia="Times New Roman"/>
        </w:rPr>
      </w:pPr>
      <w:r w:rsidRPr="002F1450">
        <w:rPr>
          <w:rFonts w:eastAsia="Times New Roman"/>
        </w:rPr>
        <w:t>Be sure that any prescription drugs you may be taking are not going to influence your driving abilities.</w:t>
      </w:r>
    </w:p>
    <w:p w:rsidR="002F1450" w:rsidRPr="002F1450" w:rsidRDefault="002F1450" w:rsidP="002F1450">
      <w:pPr>
        <w:pStyle w:val="Bullet"/>
        <w:rPr>
          <w:rFonts w:eastAsia="Times New Roman"/>
        </w:rPr>
      </w:pPr>
      <w:r w:rsidRPr="002F1450">
        <w:rPr>
          <w:rFonts w:eastAsia="Times New Roman"/>
        </w:rPr>
        <w:t xml:space="preserve">Never drink or do drugs on the job-site or prior to working on the job-site. </w:t>
      </w:r>
    </w:p>
    <w:p w:rsidR="002F1450" w:rsidRPr="002F1450" w:rsidRDefault="002F1450" w:rsidP="002F1450">
      <w:pPr>
        <w:pStyle w:val="Bullet"/>
        <w:numPr>
          <w:ilvl w:val="0"/>
          <w:numId w:val="0"/>
        </w:numPr>
        <w:ind w:left="567"/>
        <w:rPr>
          <w:rFonts w:eastAsia="Times New Roman"/>
        </w:rPr>
      </w:pPr>
    </w:p>
    <w:p w:rsidR="002F1450" w:rsidRPr="002F1450" w:rsidRDefault="002F1450" w:rsidP="002F1450">
      <w:pPr>
        <w:widowControl/>
        <w:tabs>
          <w:tab w:val="num" w:pos="720"/>
        </w:tabs>
        <w:autoSpaceDE/>
        <w:autoSpaceDN/>
        <w:adjustRightInd/>
        <w:ind w:right="-48"/>
        <w:jc w:val="both"/>
        <w:rPr>
          <w:rFonts w:ascii="Verdana" w:eastAsia="Times New Roman" w:hAnsi="Verdana" w:cs="Arial"/>
          <w:color w:val="808080" w:themeColor="background1" w:themeShade="80"/>
          <w:sz w:val="22"/>
          <w:szCs w:val="22"/>
        </w:rPr>
      </w:pPr>
      <w:r w:rsidRPr="002F1450">
        <w:rPr>
          <w:rFonts w:ascii="Verdana" w:eastAsia="Times New Roman" w:hAnsi="Verdana" w:cs="Arial"/>
          <w:color w:val="808080" w:themeColor="background1" w:themeShade="80"/>
          <w:sz w:val="22"/>
          <w:szCs w:val="22"/>
        </w:rPr>
        <w:t>Reminder to all personnel issued a company vehicle</w:t>
      </w:r>
      <w:r>
        <w:rPr>
          <w:rFonts w:ascii="Verdana" w:eastAsia="Times New Roman" w:hAnsi="Verdana" w:cs="Arial"/>
          <w:color w:val="808080" w:themeColor="background1" w:themeShade="80"/>
          <w:sz w:val="22"/>
          <w:szCs w:val="22"/>
        </w:rPr>
        <w:t>:</w:t>
      </w:r>
    </w:p>
    <w:p w:rsidR="002F1450" w:rsidRPr="002F1450" w:rsidRDefault="002F1450" w:rsidP="002F1450">
      <w:pPr>
        <w:pStyle w:val="Bullet"/>
        <w:rPr>
          <w:rFonts w:eastAsia="Times New Roman"/>
          <w:b/>
        </w:rPr>
      </w:pPr>
      <w:r w:rsidRPr="002F1450">
        <w:rPr>
          <w:rFonts w:eastAsia="Times New Roman"/>
        </w:rPr>
        <w:t>Be cautious when selecting another worker to drive your company vehicle. Make sure that they are familiar with this particular vehicle, they do a pre-trip, and know how to tow a trailer if applicable.</w:t>
      </w:r>
    </w:p>
    <w:p w:rsidR="002F1450" w:rsidRPr="002F1450" w:rsidRDefault="002F1450" w:rsidP="002F1450">
      <w:pPr>
        <w:pStyle w:val="Bullet"/>
        <w:rPr>
          <w:rFonts w:eastAsia="Times New Roman"/>
          <w:b/>
        </w:rPr>
      </w:pPr>
      <w:r w:rsidRPr="002F1450">
        <w:rPr>
          <w:rFonts w:eastAsia="Times New Roman"/>
        </w:rPr>
        <w:t xml:space="preserve">Only employees are allowed to operate “field” company </w:t>
      </w:r>
      <w:bookmarkStart w:id="0" w:name="_GoBack"/>
      <w:bookmarkEnd w:id="0"/>
      <w:r w:rsidRPr="002F1450">
        <w:rPr>
          <w:rFonts w:eastAsia="Times New Roman"/>
        </w:rPr>
        <w:t>vehicles.</w:t>
      </w:r>
    </w:p>
    <w:p w:rsidR="002F1450" w:rsidRPr="002F1450" w:rsidRDefault="002F1450" w:rsidP="002F1450">
      <w:pPr>
        <w:widowControl/>
        <w:autoSpaceDE/>
        <w:autoSpaceDN/>
        <w:adjustRightInd/>
        <w:ind w:left="720" w:right="-48"/>
        <w:jc w:val="both"/>
        <w:rPr>
          <w:rFonts w:ascii="Verdana" w:eastAsia="Times New Roman" w:hAnsi="Verdana" w:cs="Arial"/>
          <w:b/>
          <w:color w:val="808080" w:themeColor="background1" w:themeShade="80"/>
          <w:sz w:val="22"/>
          <w:szCs w:val="22"/>
        </w:rPr>
      </w:pPr>
    </w:p>
    <w:p w:rsidR="00FE183C" w:rsidRPr="00074DFE" w:rsidRDefault="002F1450" w:rsidP="00074DFE">
      <w:pPr>
        <w:widowControl/>
        <w:autoSpaceDE/>
        <w:autoSpaceDN/>
        <w:adjustRightInd/>
        <w:ind w:right="-900"/>
        <w:jc w:val="both"/>
        <w:rPr>
          <w:rFonts w:ascii="Verdana" w:eastAsia="Times New Roman" w:hAnsi="Verdana" w:cs="Arial"/>
          <w:b/>
          <w:bCs/>
          <w:color w:val="808080" w:themeColor="background1" w:themeShade="80"/>
          <w:sz w:val="22"/>
          <w:szCs w:val="22"/>
        </w:rPr>
      </w:pPr>
      <w:r w:rsidRPr="002F1450">
        <w:rPr>
          <w:rFonts w:ascii="Verdana" w:eastAsia="Times New Roman" w:hAnsi="Verdana" w:cs="Arial"/>
          <w:b/>
          <w:bCs/>
          <w:color w:val="808080" w:themeColor="background1" w:themeShade="80"/>
          <w:sz w:val="22"/>
          <w:szCs w:val="22"/>
        </w:rPr>
        <w:t>CREWMEMBER SAFETY TOPIC</w:t>
      </w:r>
    </w:p>
    <w:sectPr w:rsidR="00FE183C" w:rsidRPr="00074DFE" w:rsidSect="00064E52">
      <w:type w:val="continuous"/>
      <w:pgSz w:w="12240" w:h="15840"/>
      <w:pgMar w:top="720" w:right="72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25" w:rsidRDefault="008E0525" w:rsidP="003A25F8">
      <w:r>
        <w:separator/>
      </w:r>
    </w:p>
  </w:endnote>
  <w:endnote w:type="continuationSeparator" w:id="0">
    <w:p w:rsidR="008E0525" w:rsidRDefault="008E0525"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25" w:rsidRDefault="008E0525" w:rsidP="003A25F8">
      <w:r>
        <w:separator/>
      </w:r>
    </w:p>
  </w:footnote>
  <w:footnote w:type="continuationSeparator" w:id="0">
    <w:p w:rsidR="008E0525" w:rsidRDefault="008E0525"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07A15"/>
    <w:multiLevelType w:val="hybridMultilevel"/>
    <w:tmpl w:val="9056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B30492"/>
    <w:multiLevelType w:val="hybridMultilevel"/>
    <w:tmpl w:val="EDDE1BE4"/>
    <w:lvl w:ilvl="0" w:tplc="F38CD158">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58B2287"/>
    <w:multiLevelType w:val="hybridMultilevel"/>
    <w:tmpl w:val="8684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6">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6"/>
  </w:num>
  <w:num w:numId="14">
    <w:abstractNumId w:val="11"/>
  </w:num>
  <w:num w:numId="15">
    <w:abstractNumId w:val="12"/>
  </w:num>
  <w:num w:numId="16">
    <w:abstractNumId w:val="10"/>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074DFE"/>
    <w:rsid w:val="001959C8"/>
    <w:rsid w:val="001C3EB7"/>
    <w:rsid w:val="002D717D"/>
    <w:rsid w:val="002F1450"/>
    <w:rsid w:val="00304971"/>
    <w:rsid w:val="003677C2"/>
    <w:rsid w:val="003A25F8"/>
    <w:rsid w:val="003B20EE"/>
    <w:rsid w:val="003D2647"/>
    <w:rsid w:val="004F7912"/>
    <w:rsid w:val="00531742"/>
    <w:rsid w:val="00541EAC"/>
    <w:rsid w:val="00560AB5"/>
    <w:rsid w:val="00561A53"/>
    <w:rsid w:val="0060333F"/>
    <w:rsid w:val="006206CA"/>
    <w:rsid w:val="00645CB0"/>
    <w:rsid w:val="006F6BA9"/>
    <w:rsid w:val="007400CB"/>
    <w:rsid w:val="008168A9"/>
    <w:rsid w:val="008E0525"/>
    <w:rsid w:val="008F0CA8"/>
    <w:rsid w:val="008F1285"/>
    <w:rsid w:val="00A730A4"/>
    <w:rsid w:val="00AF53A2"/>
    <w:rsid w:val="00BD39AC"/>
    <w:rsid w:val="00C10A67"/>
    <w:rsid w:val="00C1435D"/>
    <w:rsid w:val="00C65F05"/>
    <w:rsid w:val="00C75685"/>
    <w:rsid w:val="00C850F1"/>
    <w:rsid w:val="00D613A8"/>
    <w:rsid w:val="00E75D93"/>
    <w:rsid w:val="00F2344C"/>
    <w:rsid w:val="00F56A7D"/>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3677C2"/>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3677C2"/>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3677C2"/>
    <w:rPr>
      <w:rFonts w:ascii="Times New Roman" w:hAnsi="Times New Roman" w:cs="Times New Roman"/>
      <w:sz w:val="24"/>
      <w:szCs w:val="24"/>
    </w:rPr>
  </w:style>
  <w:style w:type="paragraph" w:styleId="ListParagraph">
    <w:name w:val="List Paragraph"/>
    <w:basedOn w:val="Normal"/>
    <w:uiPriority w:val="1"/>
    <w:rsid w:val="003677C2"/>
  </w:style>
  <w:style w:type="paragraph" w:customStyle="1" w:styleId="TableParagraph">
    <w:name w:val="Table Paragraph"/>
    <w:basedOn w:val="Normal"/>
    <w:uiPriority w:val="1"/>
    <w:rsid w:val="003677C2"/>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zifflaw.com/NYInjuryLawBlog/wp-content/uploads/2009/06/defensive-driving.jp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Course Request Form</vt:lpstr>
    </vt:vector>
  </TitlesOfParts>
  <Company>Hewlett-Packard Company</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3</cp:revision>
  <cp:lastPrinted>2014-10-27T17:12:00Z</cp:lastPrinted>
  <dcterms:created xsi:type="dcterms:W3CDTF">2017-08-24T07:02:00Z</dcterms:created>
  <dcterms:modified xsi:type="dcterms:W3CDTF">2017-08-24T10:19:00Z</dcterms:modified>
</cp:coreProperties>
</file>